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40912E" w14:textId="0EC09889" w:rsidR="006C7C67" w:rsidRDefault="006C7C67" w:rsidP="006C7C67">
      <w:pPr>
        <w:pStyle w:val="CH"/>
      </w:pPr>
      <w:bookmarkStart w:id="0" w:name="historyclause"/>
      <w:r w:rsidRPr="00B070F5">
        <w:t xml:space="preserve">3GPP </w:t>
      </w:r>
      <w:r>
        <w:t>TSG-</w:t>
      </w:r>
      <w:r w:rsidRPr="00B070F5">
        <w:t>RAN</w:t>
      </w:r>
      <w:r>
        <w:t xml:space="preserve">4 </w:t>
      </w:r>
      <w:r w:rsidRPr="00B070F5">
        <w:t>Meeting #</w:t>
      </w:r>
      <w:r>
        <w:t>94bis-e</w:t>
      </w:r>
      <w:r>
        <w:tab/>
      </w:r>
      <w:r>
        <w:tab/>
      </w:r>
      <w:r w:rsidR="0037289B" w:rsidRPr="0037289B">
        <w:t>R4-2004717</w:t>
      </w:r>
      <w:bookmarkStart w:id="1" w:name="_GoBack"/>
      <w:bookmarkEnd w:id="1"/>
    </w:p>
    <w:p w14:paraId="037C50A8" w14:textId="2A0E77B1" w:rsidR="00245835" w:rsidRPr="003E244D" w:rsidRDefault="006C7C67" w:rsidP="006C7C67">
      <w:pPr>
        <w:pStyle w:val="CH"/>
        <w:tabs>
          <w:tab w:val="clear" w:pos="7920"/>
        </w:tabs>
        <w:rPr>
          <w:b w:val="0"/>
          <w:lang w:val="en-US"/>
        </w:rPr>
      </w:pPr>
      <w:r>
        <w:t>Online</w:t>
      </w:r>
      <w:r w:rsidRPr="00B070F5">
        <w:t xml:space="preserve">, </w:t>
      </w:r>
      <w:r>
        <w:t>20 April – 30 April,</w:t>
      </w:r>
      <w:r w:rsidRPr="00B070F5">
        <w:t xml:space="preserve"> 20</w:t>
      </w:r>
      <w:r>
        <w:t>20</w:t>
      </w:r>
    </w:p>
    <w:p w14:paraId="39A0EE25" w14:textId="77777777" w:rsidR="00D309CC" w:rsidRPr="003E244D" w:rsidRDefault="00D309CC" w:rsidP="00D309CC">
      <w:pPr>
        <w:tabs>
          <w:tab w:val="left" w:pos="2160"/>
        </w:tabs>
        <w:rPr>
          <w:rFonts w:ascii="Arial" w:hAnsi="Arial" w:cs="Arial"/>
          <w:b/>
          <w:lang w:val="en-US"/>
        </w:rPr>
      </w:pPr>
    </w:p>
    <w:p w14:paraId="6DDCE159" w14:textId="3F62B45F" w:rsidR="00D309CC" w:rsidRPr="003E244D" w:rsidRDefault="00D309CC" w:rsidP="00D309CC">
      <w:pPr>
        <w:pStyle w:val="CH"/>
        <w:rPr>
          <w:b w:val="0"/>
          <w:lang w:val="en-US"/>
        </w:rPr>
      </w:pPr>
      <w:r w:rsidRPr="003E244D">
        <w:rPr>
          <w:lang w:val="en-US"/>
        </w:rPr>
        <w:t>Agenda item:</w:t>
      </w:r>
      <w:r w:rsidRPr="003E244D">
        <w:rPr>
          <w:lang w:val="en-US"/>
        </w:rPr>
        <w:tab/>
      </w:r>
      <w:r w:rsidR="003E0D6F" w:rsidRPr="003E0D6F">
        <w:rPr>
          <w:lang w:val="en-US"/>
        </w:rPr>
        <w:t>13.2.4</w:t>
      </w:r>
    </w:p>
    <w:p w14:paraId="4DBE005A" w14:textId="77777777" w:rsidR="00D309CC" w:rsidRPr="003E244D" w:rsidRDefault="00D309CC" w:rsidP="00D309CC">
      <w:pPr>
        <w:pStyle w:val="CH"/>
        <w:rPr>
          <w:b w:val="0"/>
          <w:lang w:val="en-US"/>
        </w:rPr>
      </w:pPr>
      <w:r w:rsidRPr="003E244D">
        <w:rPr>
          <w:lang w:val="en-US"/>
        </w:rPr>
        <w:t>Source:</w:t>
      </w:r>
      <w:r w:rsidRPr="003E244D">
        <w:rPr>
          <w:lang w:val="en-US"/>
        </w:rPr>
        <w:tab/>
        <w:t>Apple Inc.</w:t>
      </w:r>
    </w:p>
    <w:p w14:paraId="0D2061A1" w14:textId="36738DD6" w:rsidR="00D309CC" w:rsidRPr="003E244D" w:rsidRDefault="00D309CC" w:rsidP="00D309CC">
      <w:pPr>
        <w:pStyle w:val="CH"/>
        <w:rPr>
          <w:lang w:val="en-US"/>
        </w:rPr>
      </w:pPr>
      <w:r w:rsidRPr="003E244D">
        <w:rPr>
          <w:lang w:val="en-US"/>
        </w:rPr>
        <w:t>Title:</w:t>
      </w:r>
      <w:r w:rsidRPr="003E244D">
        <w:rPr>
          <w:lang w:val="en-US"/>
        </w:rPr>
        <w:tab/>
      </w:r>
      <w:r w:rsidR="003E0D6F" w:rsidRPr="003E0D6F">
        <w:rPr>
          <w:lang w:val="en-US"/>
        </w:rPr>
        <w:t>FR2 RF enhancements for Rel-17</w:t>
      </w:r>
    </w:p>
    <w:p w14:paraId="6C6D1281" w14:textId="4B1EDB56" w:rsidR="00104BC6" w:rsidRPr="003E244D" w:rsidRDefault="00104BC6" w:rsidP="00D309CC">
      <w:pPr>
        <w:pStyle w:val="CH"/>
        <w:rPr>
          <w:b w:val="0"/>
          <w:lang w:val="en-US"/>
        </w:rPr>
      </w:pPr>
      <w:r w:rsidRPr="003E244D">
        <w:rPr>
          <w:lang w:val="en-US"/>
        </w:rPr>
        <w:t>Release:</w:t>
      </w:r>
      <w:r w:rsidRPr="003E244D">
        <w:rPr>
          <w:lang w:val="en-US"/>
        </w:rPr>
        <w:tab/>
        <w:t>Rel-</w:t>
      </w:r>
      <w:r w:rsidR="00774153" w:rsidRPr="003E244D">
        <w:rPr>
          <w:lang w:val="en-US"/>
        </w:rPr>
        <w:t>1</w:t>
      </w:r>
      <w:r w:rsidR="004F5B94">
        <w:rPr>
          <w:lang w:val="en-US"/>
        </w:rPr>
        <w:t>7</w:t>
      </w:r>
    </w:p>
    <w:p w14:paraId="2E4E044D" w14:textId="6DE869C2" w:rsidR="00D309CC" w:rsidRPr="003E244D" w:rsidRDefault="00D309CC" w:rsidP="00D309CC">
      <w:pPr>
        <w:pStyle w:val="CH"/>
        <w:rPr>
          <w:lang w:val="en-US"/>
        </w:rPr>
      </w:pPr>
      <w:r w:rsidRPr="003E244D">
        <w:rPr>
          <w:lang w:val="en-US"/>
        </w:rPr>
        <w:t>Document for:</w:t>
      </w:r>
      <w:r w:rsidRPr="003E244D">
        <w:rPr>
          <w:lang w:val="en-US"/>
        </w:rPr>
        <w:tab/>
      </w:r>
      <w:r w:rsidR="00F731CE" w:rsidRPr="003E244D">
        <w:rPr>
          <w:lang w:val="en-US"/>
        </w:rPr>
        <w:t>Discussion</w:t>
      </w:r>
    </w:p>
    <w:p w14:paraId="0207DB43" w14:textId="77777777" w:rsidR="00D46431" w:rsidRPr="003E244D" w:rsidRDefault="00D46431" w:rsidP="00D309CC">
      <w:pPr>
        <w:pStyle w:val="CH"/>
        <w:rPr>
          <w:b w:val="0"/>
          <w:lang w:val="en-US"/>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7D729FEB" w14:textId="0EDD479E" w:rsidR="00E066F0" w:rsidRPr="003E244D" w:rsidRDefault="007913C5" w:rsidP="00E066F0">
      <w:pPr>
        <w:rPr>
          <w:lang w:val="en-US"/>
        </w:rPr>
      </w:pPr>
      <w:r>
        <w:rPr>
          <w:lang w:val="en-US"/>
        </w:rPr>
        <w:t xml:space="preserve">With the Rel-17 package for RAN1-led and RAN2-led work items approved in RAN #86, the next task for RAN Plenary will be to determine the scope of the Rel-17 package for RAN4-led work.  Based on the current progress in the Rel-16 work item on FR2 RF enhancements </w:t>
      </w:r>
      <w:r>
        <w:rPr>
          <w:lang w:val="en-US"/>
        </w:rPr>
        <w:fldChar w:fldCharType="begin"/>
      </w:r>
      <w:r>
        <w:rPr>
          <w:lang w:val="en-US"/>
        </w:rPr>
        <w:instrText xml:space="preserve"> REF _Ref24049351 \r \h </w:instrText>
      </w:r>
      <w:r>
        <w:rPr>
          <w:lang w:val="en-US"/>
        </w:rPr>
      </w:r>
      <w:r>
        <w:rPr>
          <w:lang w:val="en-US"/>
        </w:rPr>
        <w:fldChar w:fldCharType="separate"/>
      </w:r>
      <w:r w:rsidR="00C31109">
        <w:rPr>
          <w:lang w:val="en-US"/>
        </w:rPr>
        <w:t>[1]</w:t>
      </w:r>
      <w:r>
        <w:rPr>
          <w:lang w:val="en-US"/>
        </w:rPr>
        <w:fldChar w:fldCharType="end"/>
      </w:r>
      <w:r>
        <w:rPr>
          <w:lang w:val="en-US"/>
        </w:rPr>
        <w:t>, this contribution examines three potential enhancements which can be considered for the Rel-17 RF effort in RAN4.</w:t>
      </w:r>
    </w:p>
    <w:p w14:paraId="3A67921B" w14:textId="06554855" w:rsidR="008E7986" w:rsidRPr="003E244D" w:rsidRDefault="008E7986" w:rsidP="008E7986">
      <w:pPr>
        <w:pStyle w:val="Heading1"/>
        <w:rPr>
          <w:lang w:val="en-US"/>
        </w:rPr>
      </w:pPr>
      <w:r w:rsidRPr="003E244D">
        <w:rPr>
          <w:lang w:val="en-US"/>
        </w:rPr>
        <w:t>2</w:t>
      </w:r>
      <w:r w:rsidRPr="003E244D">
        <w:rPr>
          <w:lang w:val="en-US"/>
        </w:rPr>
        <w:tab/>
      </w:r>
      <w:r w:rsidR="00E024C7" w:rsidRPr="003E244D">
        <w:rPr>
          <w:lang w:val="en-US"/>
        </w:rPr>
        <w:t>Discussion</w:t>
      </w:r>
    </w:p>
    <w:p w14:paraId="02E92650" w14:textId="6D38905D" w:rsidR="0005148B" w:rsidRPr="003E244D" w:rsidRDefault="0005148B" w:rsidP="0005148B">
      <w:pPr>
        <w:pStyle w:val="Heading2"/>
        <w:rPr>
          <w:lang w:val="en-US"/>
        </w:rPr>
      </w:pPr>
      <w:r w:rsidRPr="003E244D">
        <w:rPr>
          <w:lang w:val="en-US"/>
        </w:rPr>
        <w:t>2.</w:t>
      </w:r>
      <w:r w:rsidR="007913C5">
        <w:rPr>
          <w:lang w:val="en-US"/>
        </w:rPr>
        <w:t>1</w:t>
      </w:r>
      <w:r w:rsidRPr="003E244D">
        <w:rPr>
          <w:lang w:val="en-US"/>
        </w:rPr>
        <w:tab/>
      </w:r>
      <w:r w:rsidR="003E0D6F">
        <w:rPr>
          <w:lang w:val="en-US"/>
        </w:rPr>
        <w:t>Beam correspondence</w:t>
      </w:r>
      <w:r w:rsidRPr="003E244D">
        <w:rPr>
          <w:lang w:val="en-US"/>
        </w:rPr>
        <w:t xml:space="preserve"> enhancement</w:t>
      </w:r>
    </w:p>
    <w:p w14:paraId="450599C6" w14:textId="5E0C9638" w:rsidR="0005148B" w:rsidRDefault="00CA0DA2" w:rsidP="0005148B">
      <w:pPr>
        <w:rPr>
          <w:lang w:val="en-US"/>
        </w:rPr>
      </w:pPr>
      <w:r>
        <w:rPr>
          <w:lang w:val="en-US"/>
        </w:rPr>
        <w:t xml:space="preserve">Beam correspondence performance of a UE can generally benefit from enhancements of measurement </w:t>
      </w:r>
      <w:r w:rsidR="00B6199A">
        <w:rPr>
          <w:lang w:val="en-US"/>
        </w:rPr>
        <w:t>report procedures, and aspects related to “</w:t>
      </w:r>
      <w:r w:rsidR="00B6199A" w:rsidRPr="00B6199A">
        <w:rPr>
          <w:lang w:val="en-US"/>
        </w:rPr>
        <w:t>dynamic signaling from UE to network to accurately improve beam correspondence performance</w:t>
      </w:r>
      <w:r w:rsidR="00B6199A">
        <w:rPr>
          <w:lang w:val="en-US"/>
        </w:rPr>
        <w:t>” are of interest.</w:t>
      </w:r>
      <w:r w:rsidR="002327A9">
        <w:rPr>
          <w:lang w:val="en-US"/>
        </w:rPr>
        <w:t xml:space="preserve">  The relevant excerpt of our RAN1 contribution on this topic </w:t>
      </w:r>
      <w:r w:rsidR="002327A9">
        <w:rPr>
          <w:lang w:val="en-US"/>
        </w:rPr>
        <w:fldChar w:fldCharType="begin"/>
      </w:r>
      <w:r w:rsidR="002327A9">
        <w:rPr>
          <w:lang w:val="en-US"/>
        </w:rPr>
        <w:instrText xml:space="preserve"> REF _Ref24077411 \r \h </w:instrText>
      </w:r>
      <w:r w:rsidR="002327A9">
        <w:rPr>
          <w:lang w:val="en-US"/>
        </w:rPr>
      </w:r>
      <w:r w:rsidR="002327A9">
        <w:rPr>
          <w:lang w:val="en-US"/>
        </w:rPr>
        <w:fldChar w:fldCharType="separate"/>
      </w:r>
      <w:r w:rsidR="00C31109">
        <w:rPr>
          <w:lang w:val="en-US"/>
        </w:rPr>
        <w:t>[4]</w:t>
      </w:r>
      <w:r w:rsidR="002327A9">
        <w:rPr>
          <w:lang w:val="en-US"/>
        </w:rPr>
        <w:fldChar w:fldCharType="end"/>
      </w:r>
      <w:r w:rsidR="002327A9">
        <w:rPr>
          <w:lang w:val="en-US"/>
        </w:rPr>
        <w:t xml:space="preserve"> is provided below.</w:t>
      </w:r>
    </w:p>
    <w:p w14:paraId="79407743" w14:textId="2B95243A" w:rsidR="002327A9" w:rsidRDefault="002327A9" w:rsidP="002327A9">
      <w:r>
        <w:t>In the Rel-15 beamforming framework, a gNB can control a UE’s SRS Tx beam through the spatial relation configuration, which defines the Tx beam relative to a reference RS. In the absence of a configured spatial relation, there is no gNB/UE coordination on which UE Tx beam to sweep.</w:t>
      </w:r>
    </w:p>
    <w:p w14:paraId="6ECBA167" w14:textId="07455BC0" w:rsidR="002327A9" w:rsidRDefault="002327A9" w:rsidP="002327A9">
      <w:r>
        <w:t>Beam correspondence at the UE is desirable to improve beamforming efficiency. However, beam correspondence at the UE can only be achieved within a tolerance given the complexity of RF front end design and the associated calibrations. RAN4’s studies on the beam correspondence requirement clearly indicate that the deviation from ideal beam correspondence (i.e., non-zero tolerance) can be significant. We i</w:t>
      </w:r>
      <w:r w:rsidR="00C56B0D">
        <w:t>llustrate this impact in Figure 3 below</w:t>
      </w:r>
      <w:r>
        <w:t xml:space="preserve">: </w:t>
      </w:r>
      <w:r w:rsidR="00C56B0D">
        <w:t xml:space="preserve">in Figure 3(b) </w:t>
      </w:r>
      <w:r>
        <w:t xml:space="preserve">a UE with beam correspondence is configured with an SRS resource that has a spatial relation to the DL RS measured in Figure </w:t>
      </w:r>
      <w:r w:rsidR="00C56B0D">
        <w:t>3(</w:t>
      </w:r>
      <w:r>
        <w:t>a). However, the Tx beam determined through correspondence may not point in the optimal direction.</w:t>
      </w:r>
    </w:p>
    <w:p w14:paraId="14FBCD87" w14:textId="5A19D875" w:rsidR="002327A9" w:rsidRDefault="002327A9" w:rsidP="002327A9">
      <w:r>
        <w:t xml:space="preserve">To mitigate the beam correspondence error, </w:t>
      </w:r>
      <w:r w:rsidR="00C56B0D">
        <w:t>the UE in Figure 3</w:t>
      </w:r>
      <w:r>
        <w:t xml:space="preserve">(c) is configured with a small set (e.g. 2) of SRS resources with the same “spatial relation” to the reference RS, such that some SRS resources can use different Tx beams than those determined through beam correspondence. By sweeping this expanded set of SRS resources, the gNB can find the best UE Tx beam and signal the UE appropriately. This mechanism can effectively resolve error stemming from beam correspondence at the cost of a limited beam sweep around the candidate direction. </w:t>
      </w:r>
    </w:p>
    <w:p w14:paraId="1B08771B" w14:textId="77777777" w:rsidR="002327A9" w:rsidRDefault="002327A9" w:rsidP="002327A9"/>
    <w:p w14:paraId="5C9B2F0A" w14:textId="0250459F" w:rsidR="00904187" w:rsidRDefault="002327A9" w:rsidP="00904187">
      <w:pPr>
        <w:keepNext/>
      </w:pPr>
      <w:r w:rsidRPr="003C6D8C">
        <w:rPr>
          <w:noProof/>
        </w:rPr>
        <w:lastRenderedPageBreak/>
        <w:drawing>
          <wp:inline distT="0" distB="0" distL="0" distR="0" wp14:anchorId="34BCFB81" wp14:editId="510950AA">
            <wp:extent cx="6120765" cy="164401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644015"/>
                    </a:xfrm>
                    <a:prstGeom prst="rect">
                      <a:avLst/>
                    </a:prstGeom>
                  </pic:spPr>
                </pic:pic>
              </a:graphicData>
            </a:graphic>
          </wp:inline>
        </w:drawing>
      </w:r>
    </w:p>
    <w:tbl>
      <w:tblPr>
        <w:tblStyle w:val="TableGrid"/>
        <w:tblW w:w="0" w:type="auto"/>
        <w:shd w:val="clear" w:color="auto" w:fill="FFFFFF" w:themeFill="background1"/>
        <w:tblLook w:val="04A0" w:firstRow="1" w:lastRow="0" w:firstColumn="1" w:lastColumn="0" w:noHBand="0" w:noVBand="1"/>
      </w:tblPr>
      <w:tblGrid>
        <w:gridCol w:w="3209"/>
        <w:gridCol w:w="3210"/>
        <w:gridCol w:w="3210"/>
      </w:tblGrid>
      <w:tr w:rsidR="00904187" w:rsidRPr="003C6D8C" w14:paraId="34B3D6BF" w14:textId="77777777" w:rsidTr="00865E54">
        <w:trPr>
          <w:trHeight w:val="819"/>
        </w:trPr>
        <w:tc>
          <w:tcPr>
            <w:tcW w:w="3209" w:type="dxa"/>
            <w:tcBorders>
              <w:top w:val="nil"/>
              <w:left w:val="nil"/>
              <w:bottom w:val="nil"/>
              <w:right w:val="nil"/>
            </w:tcBorders>
            <w:shd w:val="clear" w:color="auto" w:fill="FFFFFF" w:themeFill="background1"/>
          </w:tcPr>
          <w:p w14:paraId="46BA1C38" w14:textId="77777777" w:rsidR="00904187" w:rsidRPr="003C6D8C" w:rsidRDefault="00904187" w:rsidP="00865E54">
            <w:pPr>
              <w:pStyle w:val="ListParagraph"/>
              <w:numPr>
                <w:ilvl w:val="0"/>
                <w:numId w:val="9"/>
              </w:numPr>
              <w:jc w:val="both"/>
              <w:rPr>
                <w:i/>
                <w:sz w:val="18"/>
                <w:szCs w:val="18"/>
              </w:rPr>
            </w:pPr>
            <w:r w:rsidRPr="003C6D8C">
              <w:rPr>
                <w:rFonts w:ascii="Times New Roman" w:hAnsi="Times New Roman"/>
                <w:i/>
                <w:sz w:val="18"/>
                <w:szCs w:val="18"/>
              </w:rPr>
              <w:t>DL RS measurement</w:t>
            </w:r>
          </w:p>
        </w:tc>
        <w:tc>
          <w:tcPr>
            <w:tcW w:w="3210" w:type="dxa"/>
            <w:tcBorders>
              <w:top w:val="nil"/>
              <w:left w:val="nil"/>
              <w:bottom w:val="nil"/>
              <w:right w:val="nil"/>
            </w:tcBorders>
            <w:shd w:val="clear" w:color="auto" w:fill="FFFFFF" w:themeFill="background1"/>
          </w:tcPr>
          <w:p w14:paraId="6CD97545" w14:textId="77777777" w:rsidR="00904187" w:rsidRPr="003C6D8C" w:rsidRDefault="00904187" w:rsidP="00865E54">
            <w:pPr>
              <w:jc w:val="both"/>
              <w:rPr>
                <w:i/>
                <w:sz w:val="18"/>
                <w:szCs w:val="18"/>
              </w:rPr>
            </w:pPr>
            <w:r w:rsidRPr="003C6D8C">
              <w:rPr>
                <w:i/>
                <w:sz w:val="18"/>
                <w:szCs w:val="18"/>
              </w:rPr>
              <w:t>(b) Using DL Rx beam as UL Tx beam with BC error</w:t>
            </w:r>
          </w:p>
        </w:tc>
        <w:tc>
          <w:tcPr>
            <w:tcW w:w="3210" w:type="dxa"/>
            <w:tcBorders>
              <w:top w:val="nil"/>
              <w:left w:val="nil"/>
              <w:bottom w:val="nil"/>
              <w:right w:val="nil"/>
            </w:tcBorders>
            <w:shd w:val="clear" w:color="auto" w:fill="FFFFFF" w:themeFill="background1"/>
          </w:tcPr>
          <w:p w14:paraId="6D74CB9A" w14:textId="77777777" w:rsidR="00904187" w:rsidRPr="003C6D8C" w:rsidRDefault="00904187" w:rsidP="00865E54">
            <w:pPr>
              <w:jc w:val="both"/>
              <w:rPr>
                <w:i/>
                <w:sz w:val="18"/>
                <w:szCs w:val="18"/>
              </w:rPr>
            </w:pPr>
            <w:r w:rsidRPr="003C6D8C">
              <w:rPr>
                <w:i/>
                <w:sz w:val="18"/>
                <w:szCs w:val="18"/>
              </w:rPr>
              <w:t xml:space="preserve">(c) Configure 2 SRS with a </w:t>
            </w:r>
            <w:r>
              <w:rPr>
                <w:i/>
                <w:sz w:val="18"/>
                <w:szCs w:val="18"/>
              </w:rPr>
              <w:t xml:space="preserve">same </w:t>
            </w:r>
            <w:r w:rsidRPr="003C6D8C">
              <w:rPr>
                <w:i/>
                <w:sz w:val="18"/>
                <w:szCs w:val="18"/>
              </w:rPr>
              <w:t>spatial relation to DL RS but different Tx beam</w:t>
            </w:r>
            <w:r>
              <w:rPr>
                <w:i/>
                <w:sz w:val="18"/>
                <w:szCs w:val="18"/>
              </w:rPr>
              <w:t>s</w:t>
            </w:r>
            <w:r w:rsidRPr="003C6D8C">
              <w:rPr>
                <w:i/>
                <w:sz w:val="18"/>
                <w:szCs w:val="18"/>
              </w:rPr>
              <w:t>, and sweep</w:t>
            </w:r>
            <w:r>
              <w:rPr>
                <w:i/>
                <w:sz w:val="18"/>
                <w:szCs w:val="18"/>
              </w:rPr>
              <w:t xml:space="preserve"> these SRS to resolve BC error</w:t>
            </w:r>
          </w:p>
        </w:tc>
      </w:tr>
    </w:tbl>
    <w:p w14:paraId="48687BD5" w14:textId="6F694DF9" w:rsidR="00904187" w:rsidRDefault="00904187" w:rsidP="00904187">
      <w:pPr>
        <w:pStyle w:val="Caption"/>
        <w:jc w:val="center"/>
      </w:pPr>
      <w:r>
        <w:t xml:space="preserve">Figure </w:t>
      </w:r>
      <w:r w:rsidR="00551056">
        <w:fldChar w:fldCharType="begin"/>
      </w:r>
      <w:r w:rsidR="00551056">
        <w:instrText xml:space="preserve"> SEQ Figure \* ARABIC </w:instrText>
      </w:r>
      <w:r w:rsidR="00551056">
        <w:fldChar w:fldCharType="separate"/>
      </w:r>
      <w:r w:rsidR="00C31109">
        <w:rPr>
          <w:noProof/>
        </w:rPr>
        <w:t>1</w:t>
      </w:r>
      <w:r w:rsidR="00551056">
        <w:rPr>
          <w:noProof/>
        </w:rPr>
        <w:fldChar w:fldCharType="end"/>
      </w:r>
      <w:r>
        <w:t xml:space="preserve">: </w:t>
      </w:r>
      <w:r w:rsidRPr="00904187">
        <w:t>Enhancing UL Tx beam sweep with partial beam correspondence</w:t>
      </w:r>
    </w:p>
    <w:p w14:paraId="2ACFD03D" w14:textId="06C8E01A" w:rsidR="002327A9" w:rsidRDefault="002327A9" w:rsidP="002327A9">
      <w:pPr>
        <w:pStyle w:val="Proposal"/>
      </w:pPr>
      <w:bookmarkStart w:id="2" w:name="_Toc24077728"/>
      <w:bookmarkStart w:id="3" w:name="_Toc24077802"/>
      <w:bookmarkStart w:id="4" w:name="_Toc32370831"/>
      <w:bookmarkStart w:id="5" w:name="_Toc32370981"/>
      <w:bookmarkStart w:id="6" w:name="_Toc32372882"/>
      <w:bookmarkStart w:id="7" w:name="_Toc32372894"/>
      <w:bookmarkStart w:id="8" w:name="_Toc32372904"/>
      <w:bookmarkStart w:id="9" w:name="_Toc32580679"/>
      <w:r>
        <w:t xml:space="preserve">Proposal </w:t>
      </w:r>
      <w:r w:rsidR="007913C5">
        <w:t>1</w:t>
      </w:r>
      <w:r>
        <w:t>:</w:t>
      </w:r>
      <w:r>
        <w:tab/>
        <w:t>An enhancement which configures multiple SRS resources with different Tx beams corresponding to the same RS (e.g. SSB, CSI-RS, or SRS) can be considered.</w:t>
      </w:r>
      <w:bookmarkEnd w:id="2"/>
      <w:bookmarkEnd w:id="3"/>
      <w:bookmarkEnd w:id="4"/>
      <w:bookmarkEnd w:id="5"/>
      <w:bookmarkEnd w:id="6"/>
      <w:bookmarkEnd w:id="7"/>
      <w:bookmarkEnd w:id="8"/>
      <w:bookmarkEnd w:id="9"/>
    </w:p>
    <w:p w14:paraId="7DC24F8B" w14:textId="22A476FC" w:rsidR="007913C5" w:rsidRDefault="007913C5" w:rsidP="007913C5">
      <w:r>
        <w:t xml:space="preserve">Similarly to the Rel-15 situation with beam correspondence, where the RAN4 definition of the requirement influenced the RAN1 capability on beam correspondence, this enhancement has the potential to impact the RAN1 design.  It is recommended to consider this impact onto the work scope of </w:t>
      </w:r>
      <w:r w:rsidR="00887E1C">
        <w:t xml:space="preserve">RAN1 (possibly, </w:t>
      </w:r>
      <w:r>
        <w:t xml:space="preserve">the Rel-17 FeMIMO work item </w:t>
      </w:r>
      <w:r w:rsidR="00900F75">
        <w:fldChar w:fldCharType="begin"/>
      </w:r>
      <w:r w:rsidR="00900F75">
        <w:instrText xml:space="preserve"> REF _Ref32371250 \r \h </w:instrText>
      </w:r>
      <w:r w:rsidR="00900F75">
        <w:fldChar w:fldCharType="separate"/>
      </w:r>
      <w:r w:rsidR="00C31109">
        <w:t>[3]</w:t>
      </w:r>
      <w:r w:rsidR="00900F75">
        <w:fldChar w:fldCharType="end"/>
      </w:r>
      <w:r w:rsidR="00887E1C">
        <w:t>)</w:t>
      </w:r>
      <w:r w:rsidR="00900F75">
        <w:t>.</w:t>
      </w:r>
    </w:p>
    <w:p w14:paraId="0D2468EC" w14:textId="464018EA" w:rsidR="00900F75" w:rsidRPr="003E244D" w:rsidRDefault="00900F75" w:rsidP="00900F75">
      <w:pPr>
        <w:pStyle w:val="Heading2"/>
        <w:rPr>
          <w:lang w:val="en-US"/>
        </w:rPr>
      </w:pPr>
      <w:r w:rsidRPr="003E244D">
        <w:rPr>
          <w:lang w:val="en-US"/>
        </w:rPr>
        <w:t>2.</w:t>
      </w:r>
      <w:r>
        <w:rPr>
          <w:lang w:val="en-US"/>
        </w:rPr>
        <w:t>2</w:t>
      </w:r>
      <w:r w:rsidRPr="003E244D">
        <w:rPr>
          <w:lang w:val="en-US"/>
        </w:rPr>
        <w:tab/>
      </w:r>
      <w:r>
        <w:rPr>
          <w:lang w:val="en-US"/>
        </w:rPr>
        <w:t>Enhancement</w:t>
      </w:r>
      <w:r w:rsidR="00904187">
        <w:rPr>
          <w:lang w:val="en-US"/>
        </w:rPr>
        <w:t>s</w:t>
      </w:r>
      <w:r>
        <w:rPr>
          <w:lang w:val="en-US"/>
        </w:rPr>
        <w:t xml:space="preserve"> of NSU</w:t>
      </w:r>
    </w:p>
    <w:p w14:paraId="4A450AED" w14:textId="201C312F" w:rsidR="007913C5" w:rsidRDefault="00904187" w:rsidP="007913C5">
      <w:pPr>
        <w:rPr>
          <w:lang w:val="en-US"/>
        </w:rPr>
      </w:pPr>
      <w:r>
        <w:rPr>
          <w:lang w:val="en-US"/>
        </w:rPr>
        <w:t xml:space="preserve">As described in </w:t>
      </w:r>
      <w:r>
        <w:rPr>
          <w:lang w:val="en-US"/>
        </w:rPr>
        <w:fldChar w:fldCharType="begin"/>
      </w:r>
      <w:r>
        <w:rPr>
          <w:lang w:val="en-US"/>
        </w:rPr>
        <w:instrText xml:space="preserve"> REF _Ref32371361 \r \h </w:instrText>
      </w:r>
      <w:r>
        <w:rPr>
          <w:lang w:val="en-US"/>
        </w:rPr>
      </w:r>
      <w:r>
        <w:rPr>
          <w:lang w:val="en-US"/>
        </w:rPr>
        <w:fldChar w:fldCharType="separate"/>
      </w:r>
      <w:r w:rsidR="00C31109">
        <w:rPr>
          <w:lang w:val="en-US"/>
        </w:rPr>
        <w:t>[5]</w:t>
      </w:r>
      <w:r>
        <w:rPr>
          <w:lang w:val="en-US"/>
        </w:rPr>
        <w:fldChar w:fldCharType="end"/>
      </w:r>
      <w:r>
        <w:rPr>
          <w:lang w:val="en-US"/>
        </w:rPr>
        <w:t xml:space="preserve">, the scope of the Rel-16 discussion related to non-simultaneous uplink (NSU) on non-contiguous UL carriers in FR2 is restricted to the </w:t>
      </w:r>
      <w:r w:rsidR="00D30419">
        <w:rPr>
          <w:lang w:val="en-US"/>
        </w:rPr>
        <w:t>CA and EN-DC scenarios shown in Figure 2 below.</w:t>
      </w:r>
    </w:p>
    <w:p w14:paraId="7EC1D838" w14:textId="77777777" w:rsidR="00D30419" w:rsidRDefault="00D30419" w:rsidP="00D30419">
      <w:pPr>
        <w:jc w:val="center"/>
      </w:pPr>
      <w:r w:rsidRPr="008D1418">
        <w:rPr>
          <w:noProof/>
        </w:rPr>
        <w:drawing>
          <wp:inline distT="0" distB="0" distL="0" distR="0" wp14:anchorId="41640258" wp14:editId="34BABBF1">
            <wp:extent cx="4572000" cy="167922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2000" cy="1679229"/>
                    </a:xfrm>
                    <a:prstGeom prst="rect">
                      <a:avLst/>
                    </a:prstGeom>
                  </pic:spPr>
                </pic:pic>
              </a:graphicData>
            </a:graphic>
          </wp:inline>
        </w:drawing>
      </w:r>
    </w:p>
    <w:p w14:paraId="6D90D5E0" w14:textId="77777777" w:rsidR="00D30419" w:rsidRDefault="00D30419" w:rsidP="00D30419">
      <w:pPr>
        <w:keepNext/>
        <w:jc w:val="center"/>
      </w:pPr>
      <w:r w:rsidRPr="008D1418">
        <w:rPr>
          <w:noProof/>
        </w:rPr>
        <w:drawing>
          <wp:inline distT="0" distB="0" distL="0" distR="0" wp14:anchorId="7AC8DB72" wp14:editId="0697AEE3">
            <wp:extent cx="4572000" cy="1684446"/>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72000" cy="1684446"/>
                    </a:xfrm>
                    <a:prstGeom prst="rect">
                      <a:avLst/>
                    </a:prstGeom>
                  </pic:spPr>
                </pic:pic>
              </a:graphicData>
            </a:graphic>
          </wp:inline>
        </w:drawing>
      </w:r>
    </w:p>
    <w:p w14:paraId="6869E430" w14:textId="2D8ED49F" w:rsidR="00D30419" w:rsidRDefault="00D30419" w:rsidP="00D30419">
      <w:pPr>
        <w:pStyle w:val="Caption"/>
        <w:jc w:val="center"/>
      </w:pPr>
      <w:r>
        <w:t xml:space="preserve">Figure </w:t>
      </w:r>
      <w:fldSimple w:instr=" SEQ Figure \* ARABIC ">
        <w:r w:rsidR="00C31109">
          <w:rPr>
            <w:noProof/>
          </w:rPr>
          <w:t>2</w:t>
        </w:r>
      </w:fldSimple>
      <w:r>
        <w:t>: EN-DC and CA scenario applicability to the non-simultaneous uplink switch mechanism</w:t>
      </w:r>
    </w:p>
    <w:p w14:paraId="6260DEE0" w14:textId="66CBC571" w:rsidR="00D30419" w:rsidRDefault="00D30419" w:rsidP="007913C5">
      <w:pPr>
        <w:rPr>
          <w:lang w:val="en-US"/>
        </w:rPr>
      </w:pPr>
      <w:r>
        <w:rPr>
          <w:lang w:val="en-US"/>
        </w:rPr>
        <w:t>An enhancement of the non-simultaneous uplink switch capapbility with PCell change can remove the applicability restriction and address the additional scenarios shown in Figure 3 below.</w:t>
      </w:r>
    </w:p>
    <w:p w14:paraId="32627C95" w14:textId="3D2BA888" w:rsidR="00D30419" w:rsidRDefault="005824BE" w:rsidP="005824BE">
      <w:pPr>
        <w:jc w:val="center"/>
        <w:rPr>
          <w:lang w:val="en-US"/>
        </w:rPr>
      </w:pPr>
      <w:r w:rsidRPr="005824BE">
        <w:rPr>
          <w:noProof/>
          <w:lang w:val="en-US"/>
        </w:rPr>
        <w:lastRenderedPageBreak/>
        <w:drawing>
          <wp:inline distT="0" distB="0" distL="0" distR="0" wp14:anchorId="73CAF4AD" wp14:editId="34C5A998">
            <wp:extent cx="4572000" cy="1733765"/>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72000" cy="1733765"/>
                    </a:xfrm>
                    <a:prstGeom prst="rect">
                      <a:avLst/>
                    </a:prstGeom>
                  </pic:spPr>
                </pic:pic>
              </a:graphicData>
            </a:graphic>
          </wp:inline>
        </w:drawing>
      </w:r>
    </w:p>
    <w:p w14:paraId="49E2150F" w14:textId="77777777" w:rsidR="005824BE" w:rsidRDefault="005824BE" w:rsidP="005824BE">
      <w:pPr>
        <w:keepNext/>
        <w:jc w:val="center"/>
      </w:pPr>
      <w:r w:rsidRPr="005824BE">
        <w:rPr>
          <w:noProof/>
          <w:lang w:val="en-US"/>
        </w:rPr>
        <w:drawing>
          <wp:inline distT="0" distB="0" distL="0" distR="0" wp14:anchorId="2625A96A" wp14:editId="0BAE7455">
            <wp:extent cx="4572000" cy="1748941"/>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72000" cy="1748941"/>
                    </a:xfrm>
                    <a:prstGeom prst="rect">
                      <a:avLst/>
                    </a:prstGeom>
                  </pic:spPr>
                </pic:pic>
              </a:graphicData>
            </a:graphic>
          </wp:inline>
        </w:drawing>
      </w:r>
    </w:p>
    <w:p w14:paraId="4EED46D7" w14:textId="24E46F47" w:rsidR="005824BE" w:rsidRDefault="005824BE" w:rsidP="005824BE">
      <w:pPr>
        <w:pStyle w:val="Caption"/>
        <w:jc w:val="center"/>
      </w:pPr>
      <w:r>
        <w:t xml:space="preserve">Figure </w:t>
      </w:r>
      <w:r w:rsidR="00551056">
        <w:fldChar w:fldCharType="begin"/>
      </w:r>
      <w:r w:rsidR="00551056">
        <w:instrText xml:space="preserve"> SEQ Figure \* ARABIC </w:instrText>
      </w:r>
      <w:r w:rsidR="00551056">
        <w:fldChar w:fldCharType="separate"/>
      </w:r>
      <w:r w:rsidR="00C31109">
        <w:rPr>
          <w:noProof/>
        </w:rPr>
        <w:t>3</w:t>
      </w:r>
      <w:r w:rsidR="00551056">
        <w:rPr>
          <w:noProof/>
        </w:rPr>
        <w:fldChar w:fldCharType="end"/>
      </w:r>
      <w:r>
        <w:t>: EN-DC and CA scenario applicability to the non-simultaneous uplink switch with PCell change mechanism</w:t>
      </w:r>
    </w:p>
    <w:p w14:paraId="27FF08D7" w14:textId="5B0E651A" w:rsidR="005824BE" w:rsidRDefault="00143612" w:rsidP="005824BE">
      <w:pPr>
        <w:rPr>
          <w:lang w:val="en-US"/>
        </w:rPr>
      </w:pPr>
      <w:r>
        <w:rPr>
          <w:lang w:val="en-US"/>
        </w:rPr>
        <w:t xml:space="preserve">The bulk of the effort associated with this enhancement is anticipated for the RAN4 RRM track and </w:t>
      </w:r>
      <w:r w:rsidR="00C31109">
        <w:rPr>
          <w:lang w:val="en-US"/>
        </w:rPr>
        <w:t>should be initiated following the conclusion of the Rel-16 leftover items, as described</w:t>
      </w:r>
      <w:r>
        <w:rPr>
          <w:lang w:val="en-US"/>
        </w:rPr>
        <w:t xml:space="preserve"> in </w:t>
      </w:r>
      <w:r>
        <w:rPr>
          <w:lang w:val="en-US"/>
        </w:rPr>
        <w:fldChar w:fldCharType="begin"/>
      </w:r>
      <w:r>
        <w:rPr>
          <w:lang w:val="en-US"/>
        </w:rPr>
        <w:instrText xml:space="preserve"> REF _Ref32371732 \r \h </w:instrText>
      </w:r>
      <w:r>
        <w:rPr>
          <w:lang w:val="en-US"/>
        </w:rPr>
      </w:r>
      <w:r>
        <w:rPr>
          <w:lang w:val="en-US"/>
        </w:rPr>
        <w:fldChar w:fldCharType="separate"/>
      </w:r>
      <w:r w:rsidR="00C31109">
        <w:rPr>
          <w:lang w:val="en-US"/>
        </w:rPr>
        <w:t>[6]</w:t>
      </w:r>
      <w:r>
        <w:rPr>
          <w:lang w:val="en-US"/>
        </w:rPr>
        <w:fldChar w:fldCharType="end"/>
      </w:r>
      <w:r>
        <w:rPr>
          <w:lang w:val="en-US"/>
        </w:rPr>
        <w:t xml:space="preserve">.  From the RF perspective, this enhancement </w:t>
      </w:r>
      <w:r w:rsidR="000D78A8">
        <w:rPr>
          <w:lang w:val="en-US"/>
        </w:rPr>
        <w:t>clarifies the applicability of the feature to any EN-DC and CA configuration.</w:t>
      </w:r>
    </w:p>
    <w:p w14:paraId="516A1ECB" w14:textId="3022894F" w:rsidR="006F3F95" w:rsidRPr="006F3F95" w:rsidRDefault="006F3F95" w:rsidP="006F3F95">
      <w:pPr>
        <w:pStyle w:val="Proposal"/>
      </w:pPr>
      <w:bookmarkStart w:id="10" w:name="_Toc13823832"/>
      <w:bookmarkStart w:id="11" w:name="_Toc20917548"/>
      <w:bookmarkStart w:id="12" w:name="_Toc13821307"/>
      <w:bookmarkStart w:id="13" w:name="_Toc13823307"/>
      <w:bookmarkStart w:id="14" w:name="_Toc20918972"/>
      <w:bookmarkStart w:id="15" w:name="_Toc20919008"/>
      <w:bookmarkStart w:id="16" w:name="_Toc24076936"/>
      <w:bookmarkStart w:id="17" w:name="_Toc24077727"/>
      <w:bookmarkStart w:id="18" w:name="_Toc24077801"/>
      <w:bookmarkStart w:id="19" w:name="_Toc32370830"/>
      <w:bookmarkStart w:id="20" w:name="_Toc32370980"/>
      <w:bookmarkStart w:id="21" w:name="_Toc32372883"/>
      <w:bookmarkStart w:id="22" w:name="_Toc32372895"/>
      <w:bookmarkStart w:id="23" w:name="_Toc32372905"/>
      <w:bookmarkStart w:id="24" w:name="_Toc32580680"/>
      <w:r>
        <w:t>Proposal 2:</w:t>
      </w:r>
      <w:r>
        <w:tab/>
      </w:r>
      <w:bookmarkEnd w:id="10"/>
      <w:bookmarkEnd w:id="11"/>
      <w:r>
        <w:t xml:space="preserve">It is proposed to enhance the UE feature of </w:t>
      </w:r>
      <w:r w:rsidRPr="006F3F95">
        <w:t xml:space="preserve">non-simultaneous uplink (NSU) on non-contiguous UL carriers </w:t>
      </w:r>
      <w:bookmarkEnd w:id="12"/>
      <w:bookmarkEnd w:id="13"/>
      <w:bookmarkEnd w:id="14"/>
      <w:bookmarkEnd w:id="15"/>
      <w:bookmarkEnd w:id="16"/>
      <w:bookmarkEnd w:id="17"/>
      <w:bookmarkEnd w:id="18"/>
      <w:bookmarkEnd w:id="19"/>
      <w:bookmarkEnd w:id="20"/>
      <w:r>
        <w:t>in FR2 to include scope for NSU switch with PCell change.</w:t>
      </w:r>
      <w:bookmarkEnd w:id="21"/>
      <w:bookmarkEnd w:id="22"/>
      <w:bookmarkEnd w:id="23"/>
      <w:bookmarkEnd w:id="24"/>
    </w:p>
    <w:p w14:paraId="3BDF37DB" w14:textId="7575A2CB" w:rsidR="001462BD" w:rsidRDefault="000D78A8" w:rsidP="001462BD">
      <w:r>
        <w:rPr>
          <w:lang w:val="en-US"/>
        </w:rPr>
        <w:t xml:space="preserve">With the scope for UL inter-band CA in FR2 removed from Rel-16, it is anticipated that such an objective will be included in the Rel-17 FR2 RF work.  </w:t>
      </w:r>
      <w:r w:rsidR="001462BD">
        <w:t>The inter-band UL CA architecture for simultaneous Tx is illustrated in Figure 4 below.</w:t>
      </w:r>
    </w:p>
    <w:p w14:paraId="286988E9" w14:textId="77777777" w:rsidR="001462BD" w:rsidRDefault="001462BD" w:rsidP="001462BD">
      <w:pPr>
        <w:keepNext/>
        <w:jc w:val="center"/>
      </w:pPr>
      <w:r w:rsidRPr="00442BE6">
        <w:rPr>
          <w:noProof/>
        </w:rPr>
        <w:drawing>
          <wp:inline distT="0" distB="0" distL="0" distR="0" wp14:anchorId="192A1743" wp14:editId="496A8CAE">
            <wp:extent cx="1828800" cy="126337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28800" cy="1263374"/>
                    </a:xfrm>
                    <a:prstGeom prst="rect">
                      <a:avLst/>
                    </a:prstGeom>
                  </pic:spPr>
                </pic:pic>
              </a:graphicData>
            </a:graphic>
          </wp:inline>
        </w:drawing>
      </w:r>
    </w:p>
    <w:p w14:paraId="7D6EA26C" w14:textId="17B150A9" w:rsidR="001462BD" w:rsidRDefault="001462BD" w:rsidP="001462BD">
      <w:pPr>
        <w:pStyle w:val="Caption"/>
        <w:jc w:val="center"/>
      </w:pPr>
      <w:r>
        <w:t xml:space="preserve">Figure </w:t>
      </w:r>
      <w:r w:rsidR="00551056">
        <w:fldChar w:fldCharType="begin"/>
      </w:r>
      <w:r w:rsidR="00551056">
        <w:instrText xml:space="preserve"> SEQ Figure \* ARABIC </w:instrText>
      </w:r>
      <w:r w:rsidR="00551056">
        <w:fldChar w:fldCharType="separate"/>
      </w:r>
      <w:r w:rsidR="00C31109">
        <w:rPr>
          <w:noProof/>
        </w:rPr>
        <w:t>4</w:t>
      </w:r>
      <w:r w:rsidR="00551056">
        <w:rPr>
          <w:noProof/>
        </w:rPr>
        <w:fldChar w:fldCharType="end"/>
      </w:r>
      <w:r>
        <w:t xml:space="preserve">: </w:t>
      </w:r>
      <w:r w:rsidRPr="001462BD">
        <w:t>Inter-band UL CA architecture (simultaneous Tx)</w:t>
      </w:r>
    </w:p>
    <w:p w14:paraId="2B57054F" w14:textId="60C47E24" w:rsidR="001462BD" w:rsidRDefault="001462BD" w:rsidP="001462BD">
      <w:r>
        <w:t xml:space="preserve">We observe that the two PAs will generate reverse intermodulation products;  the strongest coupling mechanism is expected to be the antenna array.  If the design uses collocated arrays, as has been the assumption in the multi-band framework, then the isolation between the arrays is not expected to be significant.  If the design uses non collocated arrays, or even separate antenna panels for the UL CCs, then the design may not be able to support some CA combinations (such as the n258+n257 case), or it may not be compliant with all Rel-16 specifications (since multi-panel operation is no longer in the scope of Rel-16 RAN1 work and has not been started as part of Rel-17 RAN1 work).  Thus, with a strong coupling mechanism for reverse IMD, the inter-band UL CA scenario in FR2 begins to resemble similar challenges we have seen with band 41/n41 EN-DC. </w:t>
      </w:r>
    </w:p>
    <w:p w14:paraId="527253A3" w14:textId="43C8EA4C" w:rsidR="005824BE" w:rsidRDefault="001462BD" w:rsidP="001462BD">
      <w:r>
        <w:t xml:space="preserve">In addition to the need to increase MPR to reduce the magnitude of the intermodulation products, simultaneous inter-band UL allocations reduce the PSD level received by the base station, further exacerbating the UL link budget.  In an example with two inter-band UL CCs of equal bandwidth and full allocation, the non-simultaneous UE enjoys a 3 dB advantage over the simultaneous UE in terms of the received PSD level at the base station.  Thus, the applicability of </w:t>
      </w:r>
      <w:r>
        <w:lastRenderedPageBreak/>
        <w:t>the NSU feature to inter-band UL CA in FR2 is a necessary aspect of Rel-17 FR2 RF enhancement, in our understanding.</w:t>
      </w:r>
    </w:p>
    <w:p w14:paraId="0DD1497E" w14:textId="349FD322" w:rsidR="006F3F95" w:rsidRPr="006F3F95" w:rsidRDefault="006F3F95" w:rsidP="006F3F95">
      <w:pPr>
        <w:pStyle w:val="Proposal"/>
      </w:pPr>
      <w:bookmarkStart w:id="25" w:name="_Toc32372884"/>
      <w:bookmarkStart w:id="26" w:name="_Toc32372896"/>
      <w:bookmarkStart w:id="27" w:name="_Toc32372906"/>
      <w:bookmarkStart w:id="28" w:name="_Toc32580681"/>
      <w:r>
        <w:t>Proposal 3:</w:t>
      </w:r>
      <w:r>
        <w:tab/>
        <w:t>T</w:t>
      </w:r>
      <w:r w:rsidRPr="006F3F95">
        <w:t>he applicability of the NSU feature to inter-band UL CA in FR2 is a necessary aspect of Rel-17 FR2 RF enhancement</w:t>
      </w:r>
      <w:r>
        <w:t>.</w:t>
      </w:r>
      <w:bookmarkEnd w:id="25"/>
      <w:bookmarkEnd w:id="26"/>
      <w:bookmarkEnd w:id="27"/>
      <w:bookmarkEnd w:id="28"/>
    </w:p>
    <w:p w14:paraId="2DC765FC" w14:textId="410D967A" w:rsidR="00900F75" w:rsidRPr="003E244D" w:rsidRDefault="00900F75" w:rsidP="00900F75">
      <w:pPr>
        <w:pStyle w:val="Heading2"/>
        <w:rPr>
          <w:lang w:val="en-US"/>
        </w:rPr>
      </w:pPr>
      <w:r w:rsidRPr="003E244D">
        <w:rPr>
          <w:lang w:val="en-US"/>
        </w:rPr>
        <w:t>2.</w:t>
      </w:r>
      <w:r>
        <w:rPr>
          <w:lang w:val="en-US"/>
        </w:rPr>
        <w:t>3</w:t>
      </w:r>
      <w:r w:rsidRPr="003E244D">
        <w:rPr>
          <w:lang w:val="en-US"/>
        </w:rPr>
        <w:tab/>
      </w:r>
      <w:r>
        <w:rPr>
          <w:lang w:val="en-US"/>
        </w:rPr>
        <w:t>FR2 UE antenna element scaling</w:t>
      </w:r>
    </w:p>
    <w:p w14:paraId="69E7D7AF" w14:textId="7DC60543" w:rsidR="007913C5" w:rsidRDefault="00A60DB5" w:rsidP="007913C5">
      <w:pPr>
        <w:rPr>
          <w:lang w:val="en-US"/>
        </w:rPr>
      </w:pPr>
      <w:r>
        <w:rPr>
          <w:lang w:val="en-US"/>
        </w:rPr>
        <w:t xml:space="preserve">Recognizing the UE’s potential for high power consumption during FR2 operation, power savings techniques </w:t>
      </w:r>
      <w:r w:rsidR="004D5236">
        <w:rPr>
          <w:lang w:val="en-US"/>
        </w:rPr>
        <w:t xml:space="preserve">are valuable enhancement objectives.  One </w:t>
      </w:r>
      <w:r w:rsidR="0097758C">
        <w:rPr>
          <w:lang w:val="en-US"/>
        </w:rPr>
        <w:t>technique</w:t>
      </w:r>
      <w:r w:rsidR="00D23FB0">
        <w:rPr>
          <w:lang w:val="en-US"/>
        </w:rPr>
        <w:t xml:space="preserve"> the UE can utilize is to reduce or increase the number of Rx and/or Tx antenna elements based on operating conditions.  Figure 4 below illustrates the possible scenarios.</w:t>
      </w:r>
    </w:p>
    <w:p w14:paraId="30C4C55D" w14:textId="2D18ADF9" w:rsidR="00D23FB0" w:rsidRDefault="00D23FB0" w:rsidP="00D23FB0">
      <w:pPr>
        <w:jc w:val="center"/>
        <w:rPr>
          <w:lang w:val="en-US"/>
        </w:rPr>
      </w:pPr>
      <w:r w:rsidRPr="00D23FB0">
        <w:rPr>
          <w:noProof/>
          <w:lang w:val="en-US"/>
        </w:rPr>
        <w:drawing>
          <wp:inline distT="0" distB="0" distL="0" distR="0" wp14:anchorId="21C84642" wp14:editId="4A6202F8">
            <wp:extent cx="3657600" cy="212149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57600" cy="2121491"/>
                    </a:xfrm>
                    <a:prstGeom prst="rect">
                      <a:avLst/>
                    </a:prstGeom>
                  </pic:spPr>
                </pic:pic>
              </a:graphicData>
            </a:graphic>
          </wp:inline>
        </w:drawing>
      </w:r>
    </w:p>
    <w:p w14:paraId="4EA68084" w14:textId="77777777" w:rsidR="00D23FB0" w:rsidRDefault="00D23FB0" w:rsidP="00D23FB0">
      <w:pPr>
        <w:keepNext/>
        <w:jc w:val="center"/>
      </w:pPr>
      <w:r w:rsidRPr="00D23FB0">
        <w:rPr>
          <w:noProof/>
          <w:lang w:val="en-US"/>
        </w:rPr>
        <w:drawing>
          <wp:inline distT="0" distB="0" distL="0" distR="0" wp14:anchorId="31CA8E33" wp14:editId="7FD3D649">
            <wp:extent cx="3657600" cy="189462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57600" cy="1894622"/>
                    </a:xfrm>
                    <a:prstGeom prst="rect">
                      <a:avLst/>
                    </a:prstGeom>
                  </pic:spPr>
                </pic:pic>
              </a:graphicData>
            </a:graphic>
          </wp:inline>
        </w:drawing>
      </w:r>
    </w:p>
    <w:p w14:paraId="26D7070B" w14:textId="76F3DEB5" w:rsidR="00D23FB0" w:rsidRDefault="00D23FB0" w:rsidP="00D23FB0">
      <w:pPr>
        <w:pStyle w:val="Caption"/>
        <w:jc w:val="center"/>
      </w:pPr>
      <w:r>
        <w:t xml:space="preserve">Figure </w:t>
      </w:r>
      <w:r w:rsidR="00551056">
        <w:fldChar w:fldCharType="begin"/>
      </w:r>
      <w:r w:rsidR="00551056">
        <w:instrText xml:space="preserve"> SEQ Figure \* ARABIC </w:instrText>
      </w:r>
      <w:r w:rsidR="00551056">
        <w:fldChar w:fldCharType="separate"/>
      </w:r>
      <w:r w:rsidR="00C31109">
        <w:rPr>
          <w:noProof/>
        </w:rPr>
        <w:t>5</w:t>
      </w:r>
      <w:r w:rsidR="00551056">
        <w:rPr>
          <w:noProof/>
        </w:rPr>
        <w:fldChar w:fldCharType="end"/>
      </w:r>
      <w:r>
        <w:t>: FR2 UE antenna element scaling scenarios</w:t>
      </w:r>
    </w:p>
    <w:p w14:paraId="2295611E" w14:textId="7A35B78D" w:rsidR="00D23FB0" w:rsidRDefault="00610950" w:rsidP="00D23FB0">
      <w:r w:rsidRPr="00610950">
        <w:rPr>
          <w:lang w:val="en-US"/>
        </w:rPr>
        <w:t>Existing frequency range 2 (FR2) RF requirements for user equipment (UE) in TS38.101-2 specify requirements on UE power control, such that the maximum output power, minimum output power, and the output power tolerance</w:t>
      </w:r>
      <w:r>
        <w:rPr>
          <w:lang w:val="en-US"/>
        </w:rPr>
        <w:t>.  If the UE employs antenna element scaling a</w:t>
      </w:r>
      <w:r w:rsidRPr="00610950">
        <w:rPr>
          <w:lang w:val="en-US"/>
        </w:rPr>
        <w:t xml:space="preserve">s a technique to reduce the power consumption, </w:t>
      </w:r>
      <w:r>
        <w:rPr>
          <w:lang w:val="en-US"/>
        </w:rPr>
        <w:t xml:space="preserve">it can impact the UE’s power control tolerance and </w:t>
      </w:r>
      <w:r w:rsidRPr="00610950">
        <w:rPr>
          <w:lang w:val="en-US"/>
        </w:rPr>
        <w:t>beam management procedures at the network level</w:t>
      </w:r>
      <w:r>
        <w:rPr>
          <w:lang w:val="en-US"/>
        </w:rPr>
        <w:t xml:space="preserve">.  An enhancement to optimize network performance and to reduce network performance degradation in response to UE antenna element scaling is proposed.  </w:t>
      </w:r>
      <w:r>
        <w:t xml:space="preserve">Similarly to the Rel-15 situation with beam correspondence, where the RAN4 definition of the requirement influenced the RAN1 capability on beam correspondence, this enhancement has the potential to impact the RAN1 design.  It is recommended to consider this impact onto the work scope of </w:t>
      </w:r>
      <w:r w:rsidR="00887E1C">
        <w:t xml:space="preserve">RAN1 (possibly, </w:t>
      </w:r>
      <w:r>
        <w:t xml:space="preserve">the Rel-17 FeMIMO work item </w:t>
      </w:r>
      <w:r>
        <w:fldChar w:fldCharType="begin"/>
      </w:r>
      <w:r>
        <w:instrText xml:space="preserve"> REF _Ref32371250 \r \h </w:instrText>
      </w:r>
      <w:r>
        <w:fldChar w:fldCharType="separate"/>
      </w:r>
      <w:r w:rsidR="00C31109">
        <w:t>[3]</w:t>
      </w:r>
      <w:r>
        <w:fldChar w:fldCharType="end"/>
      </w:r>
      <w:r w:rsidR="00887E1C">
        <w:t>)</w:t>
      </w:r>
      <w:r>
        <w:t>.</w:t>
      </w:r>
    </w:p>
    <w:p w14:paraId="3B848F35" w14:textId="6E93DE90" w:rsidR="006F3F95" w:rsidRPr="00610950" w:rsidRDefault="00386C14" w:rsidP="00386C14">
      <w:pPr>
        <w:pStyle w:val="Proposal"/>
      </w:pPr>
      <w:bookmarkStart w:id="29" w:name="_Toc32372885"/>
      <w:bookmarkStart w:id="30" w:name="_Toc32372897"/>
      <w:bookmarkStart w:id="31" w:name="_Toc32372907"/>
      <w:bookmarkStart w:id="32" w:name="_Toc32580682"/>
      <w:r>
        <w:t xml:space="preserve">Proposal </w:t>
      </w:r>
      <w:r w:rsidR="0042180C">
        <w:t>4</w:t>
      </w:r>
      <w:r>
        <w:t>:</w:t>
      </w:r>
      <w:r>
        <w:tab/>
      </w:r>
      <w:r w:rsidRPr="00386C14">
        <w:t>An enhancement to optimize network performance and to reduce network performance degradation in response to UE antenna element scaling is proposed</w:t>
      </w:r>
      <w:r>
        <w:t>.</w:t>
      </w:r>
      <w:bookmarkEnd w:id="29"/>
      <w:bookmarkEnd w:id="30"/>
      <w:bookmarkEnd w:id="31"/>
      <w:bookmarkEnd w:id="32"/>
    </w:p>
    <w:p w14:paraId="34C99636" w14:textId="77777777" w:rsidR="008E7986" w:rsidRPr="003E244D" w:rsidRDefault="008E7986" w:rsidP="008E7986">
      <w:pPr>
        <w:pStyle w:val="Heading1"/>
        <w:rPr>
          <w:lang w:val="en-US"/>
        </w:rPr>
      </w:pPr>
      <w:r w:rsidRPr="003E244D">
        <w:rPr>
          <w:lang w:val="en-US"/>
        </w:rPr>
        <w:t>3</w:t>
      </w:r>
      <w:r w:rsidRPr="003E244D">
        <w:rPr>
          <w:lang w:val="en-US"/>
        </w:rPr>
        <w:tab/>
        <w:t>Conclusions</w:t>
      </w:r>
    </w:p>
    <w:p w14:paraId="463B82DB" w14:textId="19BBEADD" w:rsidR="00E72ABE" w:rsidRPr="003E244D" w:rsidRDefault="006C3B9C" w:rsidP="00E72324">
      <w:pPr>
        <w:rPr>
          <w:lang w:val="en-US"/>
        </w:rPr>
      </w:pPr>
      <w:r w:rsidRPr="003E244D">
        <w:rPr>
          <w:lang w:val="en-US"/>
        </w:rPr>
        <w:t xml:space="preserve">This contribution has provided our views on the topic of </w:t>
      </w:r>
      <w:r w:rsidR="00386C14">
        <w:rPr>
          <w:lang w:val="en-US"/>
        </w:rPr>
        <w:t>Rel-17 RF enhancements and made the following proposals:</w:t>
      </w:r>
    </w:p>
    <w:p w14:paraId="785E2CA6" w14:textId="77777777" w:rsidR="00C31109" w:rsidRDefault="0062595A">
      <w:pPr>
        <w:pStyle w:val="TOC1"/>
        <w:rPr>
          <w:rFonts w:asciiTheme="minorHAnsi" w:eastAsiaTheme="minorEastAsia" w:hAnsiTheme="minorHAnsi" w:cstheme="minorBidi"/>
          <w:b w:val="0"/>
          <w:bCs w:val="0"/>
          <w:noProof/>
          <w:sz w:val="24"/>
          <w:szCs w:val="24"/>
          <w:lang w:val="en-US"/>
        </w:rPr>
      </w:pPr>
      <w:r w:rsidRPr="003E244D">
        <w:rPr>
          <w:b w:val="0"/>
          <w:bCs w:val="0"/>
          <w:lang w:val="en-US"/>
        </w:rPr>
        <w:lastRenderedPageBreak/>
        <w:fldChar w:fldCharType="begin"/>
      </w:r>
      <w:r w:rsidRPr="003E244D">
        <w:rPr>
          <w:b w:val="0"/>
          <w:bCs w:val="0"/>
          <w:lang w:val="en-US"/>
        </w:rPr>
        <w:instrText xml:space="preserve"> TOC \n \t "Proposal,1" </w:instrText>
      </w:r>
      <w:r w:rsidRPr="003E244D">
        <w:rPr>
          <w:b w:val="0"/>
          <w:bCs w:val="0"/>
          <w:lang w:val="en-US"/>
        </w:rPr>
        <w:fldChar w:fldCharType="separate"/>
      </w:r>
      <w:r w:rsidR="00C31109">
        <w:rPr>
          <w:noProof/>
        </w:rPr>
        <w:t>Proposal 1:</w:t>
      </w:r>
      <w:r w:rsidR="00C31109">
        <w:rPr>
          <w:rFonts w:asciiTheme="minorHAnsi" w:eastAsiaTheme="minorEastAsia" w:hAnsiTheme="minorHAnsi" w:cstheme="minorBidi"/>
          <w:b w:val="0"/>
          <w:bCs w:val="0"/>
          <w:noProof/>
          <w:sz w:val="24"/>
          <w:szCs w:val="24"/>
          <w:lang w:val="en-US"/>
        </w:rPr>
        <w:tab/>
      </w:r>
      <w:r w:rsidR="00C31109">
        <w:rPr>
          <w:noProof/>
        </w:rPr>
        <w:t>An enhancement which configures multiple SRS resources with different Tx beams corresponding to the same RS (e.g. SSB, CSI-RS, or SRS) can be considered.</w:t>
      </w:r>
    </w:p>
    <w:p w14:paraId="4FE3DD8E" w14:textId="77777777" w:rsidR="00C31109" w:rsidRDefault="00C31109">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It is proposed to enhance the UE feature of non-simultaneous uplink (NSU) on non-contiguous UL carriers in FR2 to include scope for NSU switch with PCell change.</w:t>
      </w:r>
    </w:p>
    <w:p w14:paraId="73B77729" w14:textId="77777777" w:rsidR="00C31109" w:rsidRDefault="00C31109">
      <w:pPr>
        <w:pStyle w:val="TOC1"/>
        <w:rPr>
          <w:rFonts w:asciiTheme="minorHAnsi" w:eastAsiaTheme="minorEastAsia" w:hAnsiTheme="minorHAnsi" w:cstheme="minorBidi"/>
          <w:b w:val="0"/>
          <w:bCs w:val="0"/>
          <w:noProof/>
          <w:sz w:val="24"/>
          <w:szCs w:val="24"/>
          <w:lang w:val="en-US"/>
        </w:rPr>
      </w:pPr>
      <w:r>
        <w:rPr>
          <w:noProof/>
        </w:rPr>
        <w:t>Proposal 3:</w:t>
      </w:r>
      <w:r>
        <w:rPr>
          <w:rFonts w:asciiTheme="minorHAnsi" w:eastAsiaTheme="minorEastAsia" w:hAnsiTheme="minorHAnsi" w:cstheme="minorBidi"/>
          <w:b w:val="0"/>
          <w:bCs w:val="0"/>
          <w:noProof/>
          <w:sz w:val="24"/>
          <w:szCs w:val="24"/>
          <w:lang w:val="en-US"/>
        </w:rPr>
        <w:tab/>
      </w:r>
      <w:r>
        <w:rPr>
          <w:noProof/>
        </w:rPr>
        <w:t>The applicability of the NSU feature to inter-band UL CA in FR2 is a necessary aspect of Rel-17 FR2 RF enhancement.</w:t>
      </w:r>
    </w:p>
    <w:p w14:paraId="60635348" w14:textId="77777777" w:rsidR="00C31109" w:rsidRDefault="00C31109">
      <w:pPr>
        <w:pStyle w:val="TOC1"/>
        <w:rPr>
          <w:rFonts w:asciiTheme="minorHAnsi" w:eastAsiaTheme="minorEastAsia" w:hAnsiTheme="minorHAnsi" w:cstheme="minorBidi"/>
          <w:b w:val="0"/>
          <w:bCs w:val="0"/>
          <w:noProof/>
          <w:sz w:val="24"/>
          <w:szCs w:val="24"/>
          <w:lang w:val="en-US"/>
        </w:rPr>
      </w:pPr>
      <w:r>
        <w:rPr>
          <w:noProof/>
        </w:rPr>
        <w:t>Proposal 4:</w:t>
      </w:r>
      <w:r>
        <w:rPr>
          <w:rFonts w:asciiTheme="minorHAnsi" w:eastAsiaTheme="minorEastAsia" w:hAnsiTheme="minorHAnsi" w:cstheme="minorBidi"/>
          <w:b w:val="0"/>
          <w:bCs w:val="0"/>
          <w:noProof/>
          <w:sz w:val="24"/>
          <w:szCs w:val="24"/>
          <w:lang w:val="en-US"/>
        </w:rPr>
        <w:tab/>
      </w:r>
      <w:r>
        <w:rPr>
          <w:noProof/>
        </w:rPr>
        <w:t>An enhancement to optimize network performance and to reduce network performance degradation in response to UE antenna element scaling is proposed.</w:t>
      </w:r>
    </w:p>
    <w:p w14:paraId="769CC3B8" w14:textId="7E1EA2F2" w:rsidR="0062595A" w:rsidRPr="003E244D" w:rsidRDefault="0062595A" w:rsidP="00E72324">
      <w:pPr>
        <w:rPr>
          <w:lang w:val="en-US"/>
        </w:rPr>
      </w:pPr>
      <w:r w:rsidRPr="003E244D">
        <w:rPr>
          <w:b/>
          <w:bCs/>
          <w:lang w:val="en-US"/>
        </w:rPr>
        <w:fldChar w:fldCharType="end"/>
      </w:r>
    </w:p>
    <w:p w14:paraId="5D2DDC34" w14:textId="77777777" w:rsidR="005E69AE" w:rsidRPr="003E244D" w:rsidRDefault="005E69AE" w:rsidP="005E69AE">
      <w:pPr>
        <w:pStyle w:val="Heading1"/>
        <w:rPr>
          <w:lang w:val="en-US"/>
        </w:rPr>
      </w:pPr>
      <w:r w:rsidRPr="003E244D">
        <w:rPr>
          <w:lang w:val="en-US"/>
        </w:rPr>
        <w:t>4</w:t>
      </w:r>
      <w:r w:rsidRPr="003E244D">
        <w:rPr>
          <w:lang w:val="en-US"/>
        </w:rPr>
        <w:tab/>
        <w:t>References</w:t>
      </w:r>
    </w:p>
    <w:p w14:paraId="3F613435" w14:textId="38CA12BE" w:rsidR="00420118" w:rsidRDefault="00420118" w:rsidP="00774153">
      <w:pPr>
        <w:pStyle w:val="EX"/>
        <w:numPr>
          <w:ilvl w:val="0"/>
          <w:numId w:val="5"/>
        </w:numPr>
        <w:rPr>
          <w:lang w:val="en-US"/>
        </w:rPr>
      </w:pPr>
      <w:bookmarkStart w:id="33" w:name="_Ref16617333"/>
      <w:bookmarkStart w:id="34" w:name="_Ref24049351"/>
      <w:r w:rsidRPr="00420118">
        <w:rPr>
          <w:lang w:val="en-US"/>
        </w:rPr>
        <w:t>RP-193216</w:t>
      </w:r>
      <w:r>
        <w:rPr>
          <w:lang w:val="en-US"/>
        </w:rPr>
        <w:t>, “</w:t>
      </w:r>
      <w:r w:rsidRPr="00420118">
        <w:rPr>
          <w:lang w:val="en-US"/>
        </w:rPr>
        <w:t>Release-17 package Chairmen</w:t>
      </w:r>
      <w:r>
        <w:rPr>
          <w:lang w:val="en-US"/>
        </w:rPr>
        <w:t>’</w:t>
      </w:r>
      <w:r w:rsidRPr="00420118">
        <w:rPr>
          <w:lang w:val="en-US"/>
        </w:rPr>
        <w:t>s consolidated proposal</w:t>
      </w:r>
      <w:r>
        <w:rPr>
          <w:lang w:val="en-US"/>
        </w:rPr>
        <w:t>,” 3GPP RAN #86, December 2010</w:t>
      </w:r>
    </w:p>
    <w:p w14:paraId="39889BB5" w14:textId="357D072A" w:rsidR="00774153" w:rsidRDefault="00774153" w:rsidP="00774153">
      <w:pPr>
        <w:pStyle w:val="EX"/>
        <w:numPr>
          <w:ilvl w:val="0"/>
          <w:numId w:val="5"/>
        </w:numPr>
        <w:rPr>
          <w:lang w:val="en-US"/>
        </w:rPr>
      </w:pPr>
      <w:r w:rsidRPr="003E244D">
        <w:rPr>
          <w:lang w:val="en-US"/>
        </w:rPr>
        <w:t>RP-190761, “NR RF requirements for FR2,”</w:t>
      </w:r>
      <w:bookmarkEnd w:id="33"/>
      <w:r w:rsidRPr="003E244D">
        <w:rPr>
          <w:lang w:val="en-US"/>
        </w:rPr>
        <w:t xml:space="preserve"> Nokia, Nokia Shanghai Bell, 3GPP RAN #83, March 2019</w:t>
      </w:r>
      <w:bookmarkEnd w:id="34"/>
    </w:p>
    <w:p w14:paraId="1888A469" w14:textId="5F0CE7D6" w:rsidR="00420118" w:rsidRPr="003E244D" w:rsidRDefault="00420118" w:rsidP="00774153">
      <w:pPr>
        <w:pStyle w:val="EX"/>
        <w:numPr>
          <w:ilvl w:val="0"/>
          <w:numId w:val="5"/>
        </w:numPr>
        <w:rPr>
          <w:lang w:val="en-US"/>
        </w:rPr>
      </w:pPr>
      <w:bookmarkStart w:id="35" w:name="_Ref32371250"/>
      <w:r w:rsidRPr="00420118">
        <w:rPr>
          <w:lang w:val="en-US"/>
        </w:rPr>
        <w:t>RP-193133</w:t>
      </w:r>
      <w:r>
        <w:rPr>
          <w:lang w:val="en-US"/>
        </w:rPr>
        <w:t>, “</w:t>
      </w:r>
      <w:r w:rsidRPr="00420118">
        <w:rPr>
          <w:lang w:val="en-US"/>
        </w:rPr>
        <w:t>New WID: Further enhancements on MIMO for NR</w:t>
      </w:r>
      <w:r>
        <w:rPr>
          <w:lang w:val="en-US"/>
        </w:rPr>
        <w:t>,” Samsung, 3GPP RAN #86, December 2019</w:t>
      </w:r>
      <w:bookmarkEnd w:id="35"/>
    </w:p>
    <w:p w14:paraId="68AD39AF" w14:textId="564BBC54" w:rsidR="001220CC" w:rsidRDefault="001220CC" w:rsidP="008B78D0">
      <w:pPr>
        <w:pStyle w:val="EX"/>
        <w:numPr>
          <w:ilvl w:val="0"/>
          <w:numId w:val="5"/>
        </w:numPr>
      </w:pPr>
      <w:bookmarkStart w:id="36" w:name="_Ref24077411"/>
      <w:r w:rsidRPr="001220CC">
        <w:t>R1-1907344</w:t>
      </w:r>
      <w:r>
        <w:t>, “</w:t>
      </w:r>
      <w:r w:rsidRPr="001220CC">
        <w:t>Further considerations on beam management enhancement</w:t>
      </w:r>
      <w:r>
        <w:t>,” Apple Inc., 3GPP RAN1 #97, May 2019</w:t>
      </w:r>
      <w:bookmarkEnd w:id="36"/>
    </w:p>
    <w:p w14:paraId="3284B90F" w14:textId="2FAD47FF" w:rsidR="003E0D6F" w:rsidRDefault="003E0D6F" w:rsidP="008B78D0">
      <w:pPr>
        <w:pStyle w:val="EX"/>
        <w:numPr>
          <w:ilvl w:val="0"/>
          <w:numId w:val="5"/>
        </w:numPr>
      </w:pPr>
      <w:bookmarkStart w:id="37" w:name="_Ref32371361"/>
      <w:r w:rsidRPr="003E0D6F">
        <w:t>R4-2000019</w:t>
      </w:r>
      <w:r>
        <w:t>, “</w:t>
      </w:r>
      <w:r w:rsidRPr="003E0D6F">
        <w:t>Non-simultaneous UL for non-contiguous UL CA in FR2</w:t>
      </w:r>
      <w:r>
        <w:t>,” Apple Inc., 3GPP RAN4 #94-e, February 2020</w:t>
      </w:r>
      <w:bookmarkEnd w:id="37"/>
    </w:p>
    <w:p w14:paraId="25AFC466" w14:textId="5D68A51A" w:rsidR="00143612" w:rsidRDefault="00C31109" w:rsidP="008B78D0">
      <w:pPr>
        <w:pStyle w:val="EX"/>
        <w:numPr>
          <w:ilvl w:val="0"/>
          <w:numId w:val="5"/>
        </w:numPr>
      </w:pPr>
      <w:bookmarkStart w:id="38" w:name="_Ref32371732"/>
      <w:r w:rsidRPr="00C31109">
        <w:t>R4-2000788</w:t>
      </w:r>
      <w:r w:rsidR="00143612">
        <w:t xml:space="preserve">, </w:t>
      </w:r>
      <w:r w:rsidR="0041774D">
        <w:t>“</w:t>
      </w:r>
      <w:r w:rsidRPr="00C31109">
        <w:t>Motivation on Rel-17 further RRM enhancements</w:t>
      </w:r>
      <w:r>
        <w:t>,</w:t>
      </w:r>
      <w:r w:rsidR="0041774D">
        <w:t>”</w:t>
      </w:r>
      <w:r>
        <w:t xml:space="preserve"> Apple Inc., 3GPP RAN4 #94-e, February 2020</w:t>
      </w:r>
      <w:bookmarkEnd w:id="38"/>
    </w:p>
    <w:p w14:paraId="3CAFA984" w14:textId="77777777" w:rsidR="007913C5" w:rsidRPr="008B78D0" w:rsidRDefault="007913C5" w:rsidP="008B46AA">
      <w:pPr>
        <w:pStyle w:val="EX"/>
        <w:numPr>
          <w:ilvl w:val="0"/>
          <w:numId w:val="0"/>
        </w:numPr>
      </w:pPr>
    </w:p>
    <w:bookmarkEnd w:id="0"/>
    <w:p w14:paraId="43EAA5F7" w14:textId="77777777" w:rsidR="007E1FDF" w:rsidRPr="003E244D" w:rsidRDefault="007E1FDF" w:rsidP="00221868">
      <w:pPr>
        <w:pStyle w:val="EX"/>
        <w:numPr>
          <w:ilvl w:val="0"/>
          <w:numId w:val="0"/>
        </w:numPr>
        <w:rPr>
          <w:lang w:val="en-US"/>
        </w:rPr>
      </w:pPr>
    </w:p>
    <w:p w14:paraId="6322CC7D" w14:textId="77777777" w:rsidR="00103C69" w:rsidRPr="003E244D" w:rsidRDefault="00103C69">
      <w:pPr>
        <w:pStyle w:val="EX"/>
        <w:numPr>
          <w:ilvl w:val="0"/>
          <w:numId w:val="0"/>
        </w:numPr>
        <w:rPr>
          <w:lang w:val="en-US"/>
        </w:rPr>
      </w:pPr>
    </w:p>
    <w:sectPr w:rsidR="00103C69" w:rsidRPr="003E244D" w:rsidSect="00114E2C">
      <w:headerReference w:type="default" r:id="rId17"/>
      <w:footerReference w:type="default" r:id="rId18"/>
      <w:footerReference w:type="first" r:id="rId1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74945" w14:textId="77777777" w:rsidR="00551056" w:rsidRDefault="00551056">
      <w:r>
        <w:separator/>
      </w:r>
    </w:p>
  </w:endnote>
  <w:endnote w:type="continuationSeparator" w:id="0">
    <w:p w14:paraId="221D9D4F" w14:textId="77777777" w:rsidR="00551056" w:rsidRDefault="00551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9D2DB" w14:textId="77777777" w:rsidR="00551056" w:rsidRDefault="00551056">
      <w:r>
        <w:separator/>
      </w:r>
    </w:p>
  </w:footnote>
  <w:footnote w:type="continuationSeparator" w:id="0">
    <w:p w14:paraId="4620A59D" w14:textId="77777777" w:rsidR="00551056" w:rsidRDefault="00551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48B"/>
    <w:rsid w:val="00051834"/>
    <w:rsid w:val="00054A22"/>
    <w:rsid w:val="00057447"/>
    <w:rsid w:val="00062023"/>
    <w:rsid w:val="000626DF"/>
    <w:rsid w:val="000655A6"/>
    <w:rsid w:val="000750E1"/>
    <w:rsid w:val="00080512"/>
    <w:rsid w:val="000A365D"/>
    <w:rsid w:val="000A68F3"/>
    <w:rsid w:val="000A6C58"/>
    <w:rsid w:val="000C3E1F"/>
    <w:rsid w:val="000C47C3"/>
    <w:rsid w:val="000D58AB"/>
    <w:rsid w:val="000D76CE"/>
    <w:rsid w:val="000D78A8"/>
    <w:rsid w:val="000E732E"/>
    <w:rsid w:val="00103C69"/>
    <w:rsid w:val="00104BC6"/>
    <w:rsid w:val="00107048"/>
    <w:rsid w:val="001133A5"/>
    <w:rsid w:val="00114E2C"/>
    <w:rsid w:val="001220CC"/>
    <w:rsid w:val="00133525"/>
    <w:rsid w:val="00136D01"/>
    <w:rsid w:val="00143612"/>
    <w:rsid w:val="001445D7"/>
    <w:rsid w:val="001462BD"/>
    <w:rsid w:val="00166C80"/>
    <w:rsid w:val="00167B4B"/>
    <w:rsid w:val="00172B21"/>
    <w:rsid w:val="00197D2B"/>
    <w:rsid w:val="001A35C9"/>
    <w:rsid w:val="001A4C42"/>
    <w:rsid w:val="001C21C3"/>
    <w:rsid w:val="001C688A"/>
    <w:rsid w:val="001D02C2"/>
    <w:rsid w:val="001F0C1D"/>
    <w:rsid w:val="001F0F72"/>
    <w:rsid w:val="001F1132"/>
    <w:rsid w:val="001F168B"/>
    <w:rsid w:val="00221868"/>
    <w:rsid w:val="00223B85"/>
    <w:rsid w:val="002327A9"/>
    <w:rsid w:val="002347A2"/>
    <w:rsid w:val="002419C7"/>
    <w:rsid w:val="00245835"/>
    <w:rsid w:val="00247926"/>
    <w:rsid w:val="00251661"/>
    <w:rsid w:val="0025184C"/>
    <w:rsid w:val="00265653"/>
    <w:rsid w:val="002675F0"/>
    <w:rsid w:val="0027462C"/>
    <w:rsid w:val="00276EE4"/>
    <w:rsid w:val="00284F86"/>
    <w:rsid w:val="00290BFF"/>
    <w:rsid w:val="002A6938"/>
    <w:rsid w:val="002B6339"/>
    <w:rsid w:val="002C04C0"/>
    <w:rsid w:val="002C0B6A"/>
    <w:rsid w:val="002E00EE"/>
    <w:rsid w:val="002F6EC7"/>
    <w:rsid w:val="00301F04"/>
    <w:rsid w:val="00314EA5"/>
    <w:rsid w:val="003172DC"/>
    <w:rsid w:val="00330763"/>
    <w:rsid w:val="00337522"/>
    <w:rsid w:val="0034052F"/>
    <w:rsid w:val="00342A49"/>
    <w:rsid w:val="00342B76"/>
    <w:rsid w:val="00352736"/>
    <w:rsid w:val="0035462D"/>
    <w:rsid w:val="00362052"/>
    <w:rsid w:val="00362E0C"/>
    <w:rsid w:val="0037289B"/>
    <w:rsid w:val="003765B8"/>
    <w:rsid w:val="00386C14"/>
    <w:rsid w:val="003A0483"/>
    <w:rsid w:val="003A61A9"/>
    <w:rsid w:val="003C20DE"/>
    <w:rsid w:val="003C3971"/>
    <w:rsid w:val="003C3BBC"/>
    <w:rsid w:val="003D1E00"/>
    <w:rsid w:val="003D6AF1"/>
    <w:rsid w:val="003E0D6F"/>
    <w:rsid w:val="003E244D"/>
    <w:rsid w:val="003E62EA"/>
    <w:rsid w:val="003E7753"/>
    <w:rsid w:val="00400DB6"/>
    <w:rsid w:val="0041774D"/>
    <w:rsid w:val="00420118"/>
    <w:rsid w:val="00421408"/>
    <w:rsid w:val="0042180C"/>
    <w:rsid w:val="00423334"/>
    <w:rsid w:val="004345EC"/>
    <w:rsid w:val="00447588"/>
    <w:rsid w:val="00452D32"/>
    <w:rsid w:val="00465AB5"/>
    <w:rsid w:val="004814C2"/>
    <w:rsid w:val="004826A9"/>
    <w:rsid w:val="004C1601"/>
    <w:rsid w:val="004C50BE"/>
    <w:rsid w:val="004D3578"/>
    <w:rsid w:val="004D5236"/>
    <w:rsid w:val="004E213A"/>
    <w:rsid w:val="004F0988"/>
    <w:rsid w:val="004F3340"/>
    <w:rsid w:val="004F3E3D"/>
    <w:rsid w:val="004F4BA2"/>
    <w:rsid w:val="004F5171"/>
    <w:rsid w:val="004F5B94"/>
    <w:rsid w:val="004F782B"/>
    <w:rsid w:val="0053388B"/>
    <w:rsid w:val="00535773"/>
    <w:rsid w:val="00543C32"/>
    <w:rsid w:val="00543E6C"/>
    <w:rsid w:val="00551056"/>
    <w:rsid w:val="00565087"/>
    <w:rsid w:val="00572E14"/>
    <w:rsid w:val="005738D7"/>
    <w:rsid w:val="00575F62"/>
    <w:rsid w:val="005824BE"/>
    <w:rsid w:val="005973BE"/>
    <w:rsid w:val="005A5986"/>
    <w:rsid w:val="005C78F4"/>
    <w:rsid w:val="005D2E01"/>
    <w:rsid w:val="005D7526"/>
    <w:rsid w:val="005E69AE"/>
    <w:rsid w:val="005F42E3"/>
    <w:rsid w:val="00602AEA"/>
    <w:rsid w:val="00607E3C"/>
    <w:rsid w:val="00610950"/>
    <w:rsid w:val="00612B14"/>
    <w:rsid w:val="00614FDF"/>
    <w:rsid w:val="006246A7"/>
    <w:rsid w:val="0062595A"/>
    <w:rsid w:val="0063543D"/>
    <w:rsid w:val="00640B80"/>
    <w:rsid w:val="00647114"/>
    <w:rsid w:val="00654AC5"/>
    <w:rsid w:val="0068172C"/>
    <w:rsid w:val="006A0FE3"/>
    <w:rsid w:val="006A323F"/>
    <w:rsid w:val="006B30D0"/>
    <w:rsid w:val="006B444A"/>
    <w:rsid w:val="006C3B9C"/>
    <w:rsid w:val="006C3D95"/>
    <w:rsid w:val="006C7C67"/>
    <w:rsid w:val="006E5C86"/>
    <w:rsid w:val="006F1F0D"/>
    <w:rsid w:val="006F2846"/>
    <w:rsid w:val="006F3F95"/>
    <w:rsid w:val="00703CAB"/>
    <w:rsid w:val="00712FC4"/>
    <w:rsid w:val="00713C44"/>
    <w:rsid w:val="0072603E"/>
    <w:rsid w:val="00734A5B"/>
    <w:rsid w:val="0074026F"/>
    <w:rsid w:val="007429F6"/>
    <w:rsid w:val="00744E76"/>
    <w:rsid w:val="00752198"/>
    <w:rsid w:val="00753881"/>
    <w:rsid w:val="00754E24"/>
    <w:rsid w:val="0076797D"/>
    <w:rsid w:val="00767B36"/>
    <w:rsid w:val="00774153"/>
    <w:rsid w:val="00774DA4"/>
    <w:rsid w:val="00777F7E"/>
    <w:rsid w:val="00781F0F"/>
    <w:rsid w:val="0078418F"/>
    <w:rsid w:val="007913C5"/>
    <w:rsid w:val="00792798"/>
    <w:rsid w:val="007A78C2"/>
    <w:rsid w:val="007B5F2D"/>
    <w:rsid w:val="007B600E"/>
    <w:rsid w:val="007B670C"/>
    <w:rsid w:val="007D4A21"/>
    <w:rsid w:val="007E1FDF"/>
    <w:rsid w:val="007E22B1"/>
    <w:rsid w:val="007E2512"/>
    <w:rsid w:val="007E4B54"/>
    <w:rsid w:val="007F0F4A"/>
    <w:rsid w:val="008028A4"/>
    <w:rsid w:val="00820B25"/>
    <w:rsid w:val="00830747"/>
    <w:rsid w:val="00846EB2"/>
    <w:rsid w:val="0085728A"/>
    <w:rsid w:val="008624E8"/>
    <w:rsid w:val="00864F5A"/>
    <w:rsid w:val="00866F8F"/>
    <w:rsid w:val="008768CA"/>
    <w:rsid w:val="008825FE"/>
    <w:rsid w:val="00887E1C"/>
    <w:rsid w:val="008B46AA"/>
    <w:rsid w:val="008B78D0"/>
    <w:rsid w:val="008C384C"/>
    <w:rsid w:val="008E7986"/>
    <w:rsid w:val="008F61EB"/>
    <w:rsid w:val="00900F75"/>
    <w:rsid w:val="0090166D"/>
    <w:rsid w:val="0090271F"/>
    <w:rsid w:val="00902E23"/>
    <w:rsid w:val="00904187"/>
    <w:rsid w:val="009114D7"/>
    <w:rsid w:val="0091348E"/>
    <w:rsid w:val="00917CCB"/>
    <w:rsid w:val="00942EC2"/>
    <w:rsid w:val="00955F13"/>
    <w:rsid w:val="0097758C"/>
    <w:rsid w:val="009C75BB"/>
    <w:rsid w:val="009F37B7"/>
    <w:rsid w:val="009F5E43"/>
    <w:rsid w:val="00A10F02"/>
    <w:rsid w:val="00A13331"/>
    <w:rsid w:val="00A164B4"/>
    <w:rsid w:val="00A201FB"/>
    <w:rsid w:val="00A20351"/>
    <w:rsid w:val="00A218EA"/>
    <w:rsid w:val="00A26956"/>
    <w:rsid w:val="00A27650"/>
    <w:rsid w:val="00A31C49"/>
    <w:rsid w:val="00A53724"/>
    <w:rsid w:val="00A60DB5"/>
    <w:rsid w:val="00A61773"/>
    <w:rsid w:val="00A73129"/>
    <w:rsid w:val="00A81F5A"/>
    <w:rsid w:val="00A82346"/>
    <w:rsid w:val="00A92BA1"/>
    <w:rsid w:val="00A93385"/>
    <w:rsid w:val="00AA37A7"/>
    <w:rsid w:val="00AB37E2"/>
    <w:rsid w:val="00AC6BC6"/>
    <w:rsid w:val="00AC7371"/>
    <w:rsid w:val="00AD3D1D"/>
    <w:rsid w:val="00AE3797"/>
    <w:rsid w:val="00AF03C7"/>
    <w:rsid w:val="00B009DB"/>
    <w:rsid w:val="00B02A63"/>
    <w:rsid w:val="00B070F5"/>
    <w:rsid w:val="00B15449"/>
    <w:rsid w:val="00B6199A"/>
    <w:rsid w:val="00B8624F"/>
    <w:rsid w:val="00B93086"/>
    <w:rsid w:val="00BA19ED"/>
    <w:rsid w:val="00BA300B"/>
    <w:rsid w:val="00BA4B8D"/>
    <w:rsid w:val="00BC0F7D"/>
    <w:rsid w:val="00BC7FA1"/>
    <w:rsid w:val="00BD0602"/>
    <w:rsid w:val="00BD5E10"/>
    <w:rsid w:val="00BE3255"/>
    <w:rsid w:val="00BF128E"/>
    <w:rsid w:val="00C0300E"/>
    <w:rsid w:val="00C10623"/>
    <w:rsid w:val="00C1496A"/>
    <w:rsid w:val="00C2086E"/>
    <w:rsid w:val="00C31109"/>
    <w:rsid w:val="00C33079"/>
    <w:rsid w:val="00C37672"/>
    <w:rsid w:val="00C45231"/>
    <w:rsid w:val="00C56B0D"/>
    <w:rsid w:val="00C61F87"/>
    <w:rsid w:val="00C72833"/>
    <w:rsid w:val="00C77EA5"/>
    <w:rsid w:val="00C80F1D"/>
    <w:rsid w:val="00C91EF9"/>
    <w:rsid w:val="00C93F40"/>
    <w:rsid w:val="00CA0DA2"/>
    <w:rsid w:val="00CA3D0C"/>
    <w:rsid w:val="00CA5750"/>
    <w:rsid w:val="00CD0C7C"/>
    <w:rsid w:val="00CD47D7"/>
    <w:rsid w:val="00CD5FA3"/>
    <w:rsid w:val="00CE2522"/>
    <w:rsid w:val="00CF20E3"/>
    <w:rsid w:val="00CF42E1"/>
    <w:rsid w:val="00D2126E"/>
    <w:rsid w:val="00D23FB0"/>
    <w:rsid w:val="00D30419"/>
    <w:rsid w:val="00D309CC"/>
    <w:rsid w:val="00D32F03"/>
    <w:rsid w:val="00D46431"/>
    <w:rsid w:val="00D56A52"/>
    <w:rsid w:val="00D57972"/>
    <w:rsid w:val="00D675A9"/>
    <w:rsid w:val="00D724FE"/>
    <w:rsid w:val="00D738D6"/>
    <w:rsid w:val="00D75169"/>
    <w:rsid w:val="00D75373"/>
    <w:rsid w:val="00D755EB"/>
    <w:rsid w:val="00D87592"/>
    <w:rsid w:val="00D87C1E"/>
    <w:rsid w:val="00D87E00"/>
    <w:rsid w:val="00D9134D"/>
    <w:rsid w:val="00DA7A03"/>
    <w:rsid w:val="00DA7AB5"/>
    <w:rsid w:val="00DB1818"/>
    <w:rsid w:val="00DC309B"/>
    <w:rsid w:val="00DC4DA2"/>
    <w:rsid w:val="00DD4C17"/>
    <w:rsid w:val="00DF07C7"/>
    <w:rsid w:val="00DF2B1F"/>
    <w:rsid w:val="00DF6189"/>
    <w:rsid w:val="00DF62CD"/>
    <w:rsid w:val="00E017F8"/>
    <w:rsid w:val="00E024C7"/>
    <w:rsid w:val="00E066F0"/>
    <w:rsid w:val="00E16509"/>
    <w:rsid w:val="00E22C63"/>
    <w:rsid w:val="00E441B7"/>
    <w:rsid w:val="00E44582"/>
    <w:rsid w:val="00E52814"/>
    <w:rsid w:val="00E55017"/>
    <w:rsid w:val="00E60B57"/>
    <w:rsid w:val="00E72324"/>
    <w:rsid w:val="00E72ABE"/>
    <w:rsid w:val="00E77645"/>
    <w:rsid w:val="00E95242"/>
    <w:rsid w:val="00E963AF"/>
    <w:rsid w:val="00EB1D71"/>
    <w:rsid w:val="00EB3AE6"/>
    <w:rsid w:val="00EC2476"/>
    <w:rsid w:val="00EC4A25"/>
    <w:rsid w:val="00EC523E"/>
    <w:rsid w:val="00ED57CE"/>
    <w:rsid w:val="00EE005C"/>
    <w:rsid w:val="00EE5AA7"/>
    <w:rsid w:val="00EE696A"/>
    <w:rsid w:val="00EF0368"/>
    <w:rsid w:val="00EF084E"/>
    <w:rsid w:val="00F025A2"/>
    <w:rsid w:val="00F04712"/>
    <w:rsid w:val="00F21311"/>
    <w:rsid w:val="00F2275C"/>
    <w:rsid w:val="00F22EC7"/>
    <w:rsid w:val="00F3058B"/>
    <w:rsid w:val="00F325C8"/>
    <w:rsid w:val="00F37886"/>
    <w:rsid w:val="00F412EA"/>
    <w:rsid w:val="00F62AEB"/>
    <w:rsid w:val="00F653B8"/>
    <w:rsid w:val="00F703CE"/>
    <w:rsid w:val="00F70647"/>
    <w:rsid w:val="00F731CE"/>
    <w:rsid w:val="00FA1266"/>
    <w:rsid w:val="00FA47C1"/>
    <w:rsid w:val="00FB140E"/>
    <w:rsid w:val="00FC1192"/>
    <w:rsid w:val="00FD45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90418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C849A-FFDA-5447-8B26-D459A3FDD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42</TotalTime>
  <Pages>5</Pages>
  <Words>1405</Words>
  <Characters>8012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9399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28</cp:revision>
  <cp:lastPrinted>2019-02-25T14:05:00Z</cp:lastPrinted>
  <dcterms:created xsi:type="dcterms:W3CDTF">2020-02-12T11:30:00Z</dcterms:created>
  <dcterms:modified xsi:type="dcterms:W3CDTF">2020-04-10T21:16:00Z</dcterms:modified>
  <cp:category/>
</cp:coreProperties>
</file>